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427F79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0E1F69">
        <w:rPr>
          <w:sz w:val="28"/>
          <w:szCs w:val="28"/>
        </w:rPr>
        <w:t>6</w:t>
      </w:r>
      <w:r w:rsidR="00BE360F" w:rsidRPr="008D1CB9">
        <w:rPr>
          <w:sz w:val="28"/>
          <w:szCs w:val="28"/>
        </w:rPr>
        <w:t>.</w:t>
      </w:r>
      <w:r w:rsidR="00447106">
        <w:rPr>
          <w:sz w:val="28"/>
          <w:szCs w:val="28"/>
        </w:rPr>
        <w:t>0</w:t>
      </w:r>
      <w:r w:rsidR="000E1F69">
        <w:rPr>
          <w:sz w:val="28"/>
          <w:szCs w:val="28"/>
        </w:rPr>
        <w:t>7</w:t>
      </w:r>
      <w:r w:rsidR="00BE360F" w:rsidRPr="008D1CB9">
        <w:rPr>
          <w:sz w:val="28"/>
          <w:szCs w:val="28"/>
        </w:rPr>
        <w:t>.20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 w:rsidR="000E1F69">
        <w:rPr>
          <w:sz w:val="28"/>
          <w:szCs w:val="28"/>
        </w:rPr>
        <w:t xml:space="preserve"> </w:t>
      </w:r>
      <w:r w:rsidR="00854849">
        <w:rPr>
          <w:sz w:val="28"/>
          <w:szCs w:val="28"/>
        </w:rPr>
        <w:t>75</w:t>
      </w:r>
      <w:r w:rsidR="00F04CCE" w:rsidRPr="008D1CB9">
        <w:rPr>
          <w:sz w:val="28"/>
          <w:szCs w:val="28"/>
        </w:rPr>
        <w:t xml:space="preserve">              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8B7BDE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и 202</w:t>
      </w:r>
      <w:r w:rsidR="008B7BDE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447106">
        <w:rPr>
          <w:sz w:val="28"/>
          <w:szCs w:val="28"/>
        </w:rPr>
        <w:t>1</w:t>
      </w:r>
      <w:r w:rsidR="000E1F69">
        <w:rPr>
          <w:sz w:val="28"/>
          <w:szCs w:val="28"/>
        </w:rPr>
        <w:t>6</w:t>
      </w:r>
      <w:r w:rsidRPr="00B85234">
        <w:rPr>
          <w:sz w:val="28"/>
          <w:szCs w:val="28"/>
        </w:rPr>
        <w:t>.</w:t>
      </w:r>
      <w:r w:rsidR="00447106">
        <w:rPr>
          <w:sz w:val="28"/>
          <w:szCs w:val="28"/>
        </w:rPr>
        <w:t>0</w:t>
      </w:r>
      <w:r w:rsidR="000E1F69">
        <w:rPr>
          <w:sz w:val="28"/>
          <w:szCs w:val="28"/>
        </w:rPr>
        <w:t>7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№</w:t>
      </w:r>
      <w:r w:rsidR="00854849">
        <w:rPr>
          <w:sz w:val="28"/>
          <w:szCs w:val="28"/>
        </w:rPr>
        <w:t>75</w:t>
      </w:r>
      <w:bookmarkStart w:id="1" w:name="_GoBack"/>
      <w:bookmarkEnd w:id="1"/>
      <w:r w:rsidR="00E87D72">
        <w:rPr>
          <w:sz w:val="28"/>
          <w:szCs w:val="28"/>
        </w:rPr>
        <w:t xml:space="preserve"> </w:t>
      </w:r>
      <w:r w:rsidR="00D06AF5">
        <w:rPr>
          <w:sz w:val="28"/>
          <w:szCs w:val="28"/>
        </w:rPr>
        <w:t xml:space="preserve">  </w:t>
      </w:r>
      <w:r w:rsidR="000E1F69">
        <w:rPr>
          <w:sz w:val="28"/>
          <w:szCs w:val="28"/>
        </w:rPr>
        <w:t xml:space="preserve">  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447106">
              <w:rPr>
                <w:kern w:val="2"/>
                <w:sz w:val="28"/>
                <w:szCs w:val="28"/>
              </w:rPr>
              <w:t>3</w:t>
            </w:r>
            <w:r w:rsidR="000E1F69">
              <w:rPr>
                <w:kern w:val="2"/>
                <w:sz w:val="28"/>
                <w:szCs w:val="28"/>
              </w:rPr>
              <w:t>02,1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0E1F69">
              <w:rPr>
                <w:sz w:val="28"/>
                <w:szCs w:val="28"/>
              </w:rPr>
              <w:t>64,5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447106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E1F69">
              <w:rPr>
                <w:sz w:val="28"/>
                <w:szCs w:val="28"/>
              </w:rPr>
              <w:t>02,1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0E1F69">
              <w:rPr>
                <w:sz w:val="28"/>
                <w:szCs w:val="28"/>
              </w:rPr>
              <w:t>64,5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47106">
              <w:rPr>
                <w:sz w:val="28"/>
                <w:szCs w:val="28"/>
              </w:rPr>
              <w:t>3</w:t>
            </w:r>
            <w:r w:rsidR="000E1F69">
              <w:rPr>
                <w:sz w:val="28"/>
                <w:szCs w:val="28"/>
              </w:rPr>
              <w:t>02,1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0E1F69">
              <w:rPr>
                <w:sz w:val="28"/>
                <w:szCs w:val="28"/>
              </w:rPr>
              <w:t>64,5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30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4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1165"/>
      </w:tblGrid>
      <w:tr w:rsidR="008D1CB9" w:rsidRPr="0057139F" w:rsidTr="000E1F69">
        <w:trPr>
          <w:tblHeader/>
        </w:trPr>
        <w:tc>
          <w:tcPr>
            <w:tcW w:w="774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378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0E1F69">
        <w:trPr>
          <w:tblHeader/>
        </w:trPr>
        <w:tc>
          <w:tcPr>
            <w:tcW w:w="774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54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8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1165"/>
      </w:tblGrid>
      <w:tr w:rsidR="008D1CB9" w:rsidRPr="0057139F" w:rsidTr="000E1F69">
        <w:trPr>
          <w:tblHeader/>
        </w:trPr>
        <w:tc>
          <w:tcPr>
            <w:tcW w:w="62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0E1F69">
        <w:tc>
          <w:tcPr>
            <w:tcW w:w="15878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0E1F69">
        <w:trPr>
          <w:trHeight w:val="3362"/>
        </w:trPr>
        <w:tc>
          <w:tcPr>
            <w:tcW w:w="62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16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0E1F69">
        <w:tc>
          <w:tcPr>
            <w:tcW w:w="15878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</w:t>
            </w:r>
            <w:r w:rsidRPr="0057139F">
              <w:lastRenderedPageBreak/>
              <w:t>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lastRenderedPageBreak/>
              <w:t>процен-</w:t>
            </w:r>
            <w:r w:rsidRPr="0057139F">
              <w:lastRenderedPageBreak/>
              <w:t>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1165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85484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0E1F69">
              <w:t>02,1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0E1F69" w:rsidP="00250BAE">
            <w:r>
              <w:t>64,5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0E1F69">
              <w:t>02,1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0E1F69" w:rsidP="00250BAE">
            <w:r>
              <w:t>64,5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8B7BDE" w:rsidRPr="009B19F5" w:rsidRDefault="008B7BDE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0E1F69">
              <w:t>02,1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0E1F69" w:rsidP="00250BAE">
            <w:r>
              <w:t>64,5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0E1F69">
              <w:t>02,1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0E1F69" w:rsidP="00250BAE">
            <w:r>
              <w:t>64,5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0E1F69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F69" w:rsidRPr="009B19F5" w:rsidTr="000E1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2066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  <w:vMerge w:val="restart"/>
          </w:tcPr>
          <w:p w:rsidR="000E1F69" w:rsidRPr="009B19F5" w:rsidRDefault="000E1F69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1F69" w:rsidRPr="009B19F5" w:rsidRDefault="000E1F69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28,0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</w:tr>
      <w:tr w:rsidR="000E1F69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0E1F69" w:rsidRPr="009B19F5" w:rsidRDefault="000E1F69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0E1F69" w:rsidRDefault="000E1F69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E1F69" w:rsidRDefault="000E1F69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8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851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8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8B7BD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A4023">
              <w:rPr>
                <w:b/>
              </w:rPr>
              <w:t>6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447106">
            <w:r>
              <w:t>3</w:t>
            </w:r>
            <w:r w:rsidR="000E1F69">
              <w:t>02,1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E1F69" w:rsidP="008B7BDE">
            <w:r>
              <w:rPr>
                <w:sz w:val="18"/>
                <w:szCs w:val="18"/>
              </w:rPr>
              <w:t>64,5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9352A2">
              <w:t>3</w:t>
            </w:r>
            <w:r w:rsidR="000E1F69">
              <w:t>02,1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E1F69">
            <w:r>
              <w:rPr>
                <w:sz w:val="18"/>
                <w:szCs w:val="18"/>
              </w:rPr>
              <w:t>64,5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8B7BD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8B7BDE" w:rsidRPr="009B19F5" w:rsidRDefault="008B7BDE" w:rsidP="00FA5A69">
            <w:pPr>
              <w:jc w:val="center"/>
            </w:pPr>
            <w:r w:rsidRPr="009B19F5">
              <w:t>Подпрограмма 1.</w:t>
            </w:r>
          </w:p>
          <w:p w:rsidR="008B7BDE" w:rsidRPr="009B19F5" w:rsidRDefault="008B7BDE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8B7BDE" w:rsidRPr="009B19F5" w:rsidRDefault="008B7BDE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0E1F69">
              <w:t>02,1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E1F69">
            <w:r>
              <w:rPr>
                <w:sz w:val="18"/>
                <w:szCs w:val="18"/>
              </w:rPr>
              <w:t>64,5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8B7BD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FA5A69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0E1F69">
              <w:t>02,1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E1F69">
            <w:r>
              <w:rPr>
                <w:sz w:val="18"/>
                <w:szCs w:val="18"/>
              </w:rPr>
              <w:t>64,5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</w:t>
      </w:r>
    </w:p>
    <w:p w:rsidR="00BE360F" w:rsidRPr="009B19F5" w:rsidRDefault="00BE360F" w:rsidP="00447106">
      <w:pPr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447106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704F8"/>
    <w:rsid w:val="00077B58"/>
    <w:rsid w:val="000E1F69"/>
    <w:rsid w:val="000E2BD2"/>
    <w:rsid w:val="000E723F"/>
    <w:rsid w:val="00101CFB"/>
    <w:rsid w:val="00104D7C"/>
    <w:rsid w:val="00145CE9"/>
    <w:rsid w:val="00156020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7F79"/>
    <w:rsid w:val="00447106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4849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06AF5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528AC"/>
  <w15:docId w15:val="{0A17F95F-A2B3-4775-BA39-91CD0493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2021-07-15T06:56:00Z</cp:lastPrinted>
  <dcterms:created xsi:type="dcterms:W3CDTF">2018-10-03T14:03:00Z</dcterms:created>
  <dcterms:modified xsi:type="dcterms:W3CDTF">2021-07-16T11:38:00Z</dcterms:modified>
</cp:coreProperties>
</file>