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1F" w:rsidRDefault="004876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ОТЧЁТ ГЛАВЫ МИТЯКИНСКОГО СЕЛЬСКОГО ПОСЕЛЕНИЯ О                 ПРОДЕЛАННОЙ РАБОТЕ ЗА ПЕРВОЕ ПОЛУГОДИЕ 2023  ГОДА  </w:t>
      </w:r>
    </w:p>
    <w:p w:rsidR="0002131F" w:rsidRDefault="000213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4876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02131F" w:rsidRDefault="000213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Уставом Митякинского сельского поселения на обсуждение и оценку представляется отчёт о работе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проделанной работе за первое полугодие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 приоритетом нашей работы является исполнение полномочий, предусмотренных в Федеральном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путём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приёма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приёма граждан главой, сотрудниками администрации и депутатами Совета народных депутатов. Регулярно проводится его обновление. 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реализации Федерального закона от 27.07.2010 № 210-ФЗ «Об организации предоставления государственных и муниципальных услуг» Разработано и принято 12 административных регламента по оказанию муниципальных услуг в сельском поселении. 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 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В состав Митякинского сельского поселения входят следующие населённые пункты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станица Митякинская: численность населения - 2114 чел.;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хутор Дубы: численность населения   - 656 чел.;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хутор Садки: численность населения   - 112 чел.;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хутор Патроновка: численность населения - 151 чел.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Административным центром Митякинского сельского поселения является станица Митякинская.    Работа администрации Митякинского сельского поселения проводится согласно утверждённому плану.</w:t>
      </w:r>
    </w:p>
    <w:p w:rsidR="0002131F" w:rsidRDefault="004876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 первое полугодие 2023 года было принято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постановления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администрации поселения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распоряжений по основной деятельности, по личному составу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Проведено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Собрания депутатов, на которых принято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нормативно правовых актов.    Все нормативно - правовые акты опубликовываются в официальном печатном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издании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«Информационный Вестник Митякинского сельского поселения», а также на официальном сайте поселения. 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Собрания депутатов, постановлений администрации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направляются в прокуратуру района и находятся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 постоянным контролем Тарасовского правового управления. 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Администрацией ведётся исполнение отдельных государственных полномочий в части ведения воинского учёта в соответствии с требованиями закона РФ «О воинской обязанности и военной службе». Всего на первичном воинском учёте в сельском поселении состоит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511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 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п.3 ч.1 ст.14.1 Федерального закона «Об общих принципах организации местного самоуправления в Российской Федерации» от 06 октября 2003 г №131-ФЗ, специалистом администрации сельского поселения ведётся   работа по совершению нотариальных действий. 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отчётный период совершено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нотариальных действий. Осуществляется 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заложенных 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основании сведений, предоставляемых гражданами, ведущими личное подсобное хозяйство. За отчётный период учтено 1284 хозяйств.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3033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 В период за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первое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полугодие 2023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родилось 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детей, умерло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деятельности администрации является социальная поддержка, усиление мер социальной защиты льготных категорий населения. На нашей территории проживает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вдовы участника ВОВ,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тружеников тыла. </w:t>
      </w:r>
    </w:p>
    <w:p w:rsidR="0002131F" w:rsidRPr="008C511B" w:rsidRDefault="00487667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 с Тарасовским отделом социальной защиты населения мы оказываем помощь одиноким престарелым гражданам.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хуторе имеются соцработники, всего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соцработников, они обслуживают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172</w:t>
      </w:r>
      <w:r w:rsidRPr="008C511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2131F" w:rsidRDefault="00487667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каждом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населённом пункте всегда найдутся свои неотложные нужды и запросы. И решить всё в одиночку Главе Администрации вряд ли удастся. На помощь приходят социальные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болеющие за общее дело люди, неравнодушные к прошлому, настоящему и будущему своей малой Родины.</w:t>
      </w:r>
    </w:p>
    <w:p w:rsidR="0002131F" w:rsidRPr="008C511B" w:rsidRDefault="000213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2131F" w:rsidRDefault="004876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Бюджетным кодексом Российской Федерации, Федеральным Законом № 131 и Уставом поселения. </w:t>
      </w:r>
    </w:p>
    <w:p w:rsidR="0002131F" w:rsidRDefault="0048766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Экономика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нашего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поселения представлена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сельскохозяйственными предприятиями КФХ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ООО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Хозяйства стараются вовремя выполнить договорные обязательства по арендной плате и уплате налогов. Но, не смотря на все наши старания,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бюджете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поселения не хватает средств на решение вопросов местного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значения, определённых 131 Законом, поэтому многие вопросы остаются невыполненными из-за отсутствия финансирования. </w:t>
      </w:r>
      <w:proofErr w:type="gramStart"/>
      <w:r>
        <w:rPr>
          <w:rFonts w:ascii="Times New Roman" w:hAnsi="Times New Roman" w:cs="Times New Roman"/>
          <w:sz w:val="28"/>
          <w:szCs w:val="28"/>
        </w:rPr>
        <w:t>Хотим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выразит благодарность всем сельскохозяйственным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предприятиям  за огромную помощь в решении задач направленных на развитие поселения.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нашего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поселения имеется одна общеобразовательная школа, в которой обучаются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233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учеников.  Для всех организовано горячее питание. Подвоз детей осуществляется двумя школьными автобусами и маршрутной газелью. Школа принимала участие как в районных, так и в областных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конкурсах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 школьном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спортзале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проводятся не только уроки физкультуры, но и ведутся секционные занятия по волейболу, баскетболу. Наши команды участвуют во всех районных и межрайонных соревнованиях, и играют в составе районной команды.  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территории Митякинского сельского поселения имеется МДК, 3 клуба и 2 библиотеки, в которых проводятся различные культурно массовые мероприятия. На территории поселения имеется больница и 2 медпункта.  От всех наших жителей огромное спасибо за их труд.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станице Митякинской работает отделение почтовой связи. При этом вместе с доставкой корреспонденции они обеспечивают население необходимыми повседневными товарами. </w:t>
      </w:r>
    </w:p>
    <w:p w:rsidR="0002131F" w:rsidRDefault="00487667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Особое внимание администрацией сельского поселения и Собранием депутатов уделялось мероприятиям, направленным на профилактику терроризма и 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 Совместно со школой проводится работа с неблагополучными семьями и трудными подростками, оказываем всестороннюю помощь семьям, оказавшимся в трудной жизненной ситуации.  Вопросы благоустройства территории сельского поселения за отчётный период также заслуживают особого внимания. С апреля месяца население активно начало заниматься уборкой своих придомовых территорий. В течение весенне-летнего 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зимнего периода, регулярно проводился скашивание обочин поселковых дорог, пустырей. Хороший пример показали работники техникума, школы, администрации, социальные работники и работники дома культуры, так же прин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яв участие в уборке своих территорий. </w:t>
      </w:r>
    </w:p>
    <w:p w:rsidR="0002131F" w:rsidRDefault="0002131F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02131F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2131F" w:rsidRDefault="00487667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Hlk1321370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       Благоустройство за первое полугодие 2023 года</w:t>
      </w:r>
    </w:p>
    <w:tbl>
      <w:tblPr>
        <w:tblStyle w:val="a5"/>
        <w:tblW w:w="9776" w:type="dxa"/>
        <w:tblLook w:val="04A0"/>
      </w:tblPr>
      <w:tblGrid>
        <w:gridCol w:w="4672"/>
        <w:gridCol w:w="5104"/>
      </w:tblGrid>
      <w:tr w:rsidR="0002131F">
        <w:tc>
          <w:tcPr>
            <w:tcW w:w="4672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1. Очистка дорог от снега, обработка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противогололедной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смесью</w:t>
            </w:r>
          </w:p>
        </w:tc>
        <w:tc>
          <w:tcPr>
            <w:tcW w:w="5104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Январь, февраль на сумму: 117,2 т.р.</w:t>
            </w:r>
          </w:p>
          <w:p w:rsidR="0002131F" w:rsidRDefault="0002131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2131F">
        <w:trPr>
          <w:trHeight w:val="541"/>
        </w:trPr>
        <w:tc>
          <w:tcPr>
            <w:tcW w:w="4672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2.Наведение порядка на кладбищах.</w:t>
            </w:r>
          </w:p>
        </w:tc>
        <w:tc>
          <w:tcPr>
            <w:tcW w:w="5104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</w:t>
            </w:r>
          </w:p>
        </w:tc>
      </w:tr>
      <w:tr w:rsidR="0002131F">
        <w:tc>
          <w:tcPr>
            <w:tcW w:w="4672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3.Кошение растительности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общественных территорий Митякинского сельского </w:t>
            </w:r>
          </w:p>
        </w:tc>
        <w:tc>
          <w:tcPr>
            <w:tcW w:w="5104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Июнь, июль </w:t>
            </w:r>
          </w:p>
        </w:tc>
      </w:tr>
      <w:tr w:rsidR="0002131F">
        <w:tc>
          <w:tcPr>
            <w:tcW w:w="4672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4.Уборка аварийных деревьев на территории Митякинского сельского поселения</w:t>
            </w:r>
          </w:p>
        </w:tc>
        <w:tc>
          <w:tcPr>
            <w:tcW w:w="5104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Март, Апрель</w:t>
            </w:r>
          </w:p>
        </w:tc>
      </w:tr>
      <w:tr w:rsidR="0002131F">
        <w:tc>
          <w:tcPr>
            <w:tcW w:w="4672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5.Опашка населённых пунктов на территориях Митякинского сельского поселения</w:t>
            </w:r>
          </w:p>
        </w:tc>
        <w:tc>
          <w:tcPr>
            <w:tcW w:w="5104" w:type="dxa"/>
          </w:tcPr>
          <w:p w:rsidR="0002131F" w:rsidRDefault="00487667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Апрель, Май</w:t>
            </w:r>
          </w:p>
        </w:tc>
      </w:tr>
      <w:bookmarkEnd w:id="0"/>
    </w:tbl>
    <w:p w:rsidR="0002131F" w:rsidRDefault="0002131F">
      <w:pPr>
        <w:shd w:val="clear" w:color="auto" w:fill="FFFFFF"/>
        <w:spacing w:line="360" w:lineRule="auto"/>
        <w:ind w:right="1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02131F" w:rsidRDefault="00487667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жителям станицы и хуторов, которые наводили порядок на своих придомовых территориях.      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период за первое полугодие 2023 года на ремонт дорожной сети из областного дорожного фонда было выделено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 </w:t>
      </w:r>
      <w:proofErr w:type="spellStart"/>
      <w:proofErr w:type="gramStart"/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млн</w:t>
      </w:r>
      <w:proofErr w:type="spellEnd"/>
      <w:proofErr w:type="gramEnd"/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434,1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руб. из них израсходованы на зимние содержание дорог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582,3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тыс.руб.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содержание уличного освещения в период за первое полугодие  2023 год запланировано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450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тыс. рублей, израсходовано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156,0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рублей.</w:t>
      </w:r>
    </w:p>
    <w:p w:rsidR="0002131F" w:rsidRDefault="0048766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Митякинского сельского поселения Тарасовского района за первое полугодие 2023 года составило: по доходам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6500,2</w:t>
      </w:r>
      <w:r w:rsidRPr="008C51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C511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расходам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spellEnd"/>
      <w:proofErr w:type="gramEnd"/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880,8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:rsidR="0002131F" w:rsidRDefault="0048766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исполнены на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44,6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плану, расходы исполнены в объёме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39,1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бюджетных назначений.</w:t>
      </w:r>
    </w:p>
    <w:p w:rsidR="0002131F" w:rsidRDefault="0048766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показатели бюджета Митякинского сельского поселения Тарасовского района за первое полугодие характеризуются следующими данными:</w:t>
      </w:r>
    </w:p>
    <w:p w:rsidR="0002131F" w:rsidRDefault="0002131F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31F" w:rsidRDefault="0002131F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31F" w:rsidRDefault="0002131F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31F" w:rsidRDefault="00487667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525" w:type="dxa"/>
        <w:tblInd w:w="-117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20"/>
        <w:gridCol w:w="1234"/>
        <w:gridCol w:w="1680"/>
        <w:gridCol w:w="1701"/>
        <w:gridCol w:w="2490"/>
      </w:tblGrid>
      <w:tr w:rsidR="0002131F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02131F" w:rsidRDefault="00487667" w:rsidP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8C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за первое полугодие</w:t>
            </w:r>
          </w:p>
          <w:p w:rsidR="0002131F" w:rsidRDefault="00487667" w:rsidP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C5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 в сумме налоговых доходов</w:t>
            </w:r>
          </w:p>
        </w:tc>
      </w:tr>
      <w:tr w:rsidR="0002131F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02131F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Default="00487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3464,2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35,5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</w:tr>
      <w:tr w:rsidR="0002131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Default="00487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021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021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021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0213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2131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Default="00487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1095,7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61,1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54,4</w:t>
            </w:r>
          </w:p>
        </w:tc>
      </w:tr>
      <w:tr w:rsidR="0002131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Default="00487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1363,0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6,5</w:t>
            </w:r>
            <w:r w:rsidR="00487667"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131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Default="00487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713,2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62,7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36,4</w:t>
            </w:r>
          </w:p>
        </w:tc>
      </w:tr>
      <w:tr w:rsidR="0002131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Default="00487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273,0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</w:tr>
      <w:tr w:rsidR="0002131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Default="004876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19,3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</w:tbl>
    <w:p w:rsidR="0002131F" w:rsidRDefault="000213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2131F" w:rsidRDefault="000213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2131F" w:rsidRDefault="000213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2131F" w:rsidRPr="008C511B" w:rsidRDefault="00487667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налоговых доходов наибольший удельный вес занимают:1) налог на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ЕСХН  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36,4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2) налог на доходы физических лиц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54,4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процента.</w:t>
      </w:r>
    </w:p>
    <w:p w:rsidR="0002131F" w:rsidRDefault="004876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8C51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неналоговым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доходам поступление составило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321,3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по видам доходов от использования имущества, находящегося в муниципальной собственности.</w:t>
      </w:r>
    </w:p>
    <w:p w:rsidR="0002131F" w:rsidRDefault="004876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исполнения бюджета Митякинского сельского поселения Тарасовского района по неналоговым доходам представлена в следующей таблице:</w:t>
      </w:r>
    </w:p>
    <w:p w:rsidR="0002131F" w:rsidRDefault="0048766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657"/>
        <w:gridCol w:w="874"/>
        <w:gridCol w:w="1792"/>
        <w:gridCol w:w="1540"/>
        <w:gridCol w:w="1833"/>
      </w:tblGrid>
      <w:tr w:rsidR="0002131F">
        <w:trPr>
          <w:cantSplit/>
          <w:trHeight w:val="20"/>
          <w:tblHeader/>
        </w:trPr>
        <w:tc>
          <w:tcPr>
            <w:tcW w:w="3657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874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92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40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1833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 в неналоговых доходах</w:t>
            </w:r>
          </w:p>
        </w:tc>
      </w:tr>
      <w:tr w:rsidR="0002131F">
        <w:trPr>
          <w:cantSplit/>
          <w:trHeight w:val="20"/>
          <w:tblHeader/>
        </w:trPr>
        <w:tc>
          <w:tcPr>
            <w:tcW w:w="3657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2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</w:tcPr>
          <w:p w:rsidR="0002131F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2131F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935,7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321,3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34,3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</w:tr>
      <w:tr w:rsidR="0002131F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935,7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312,3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33,4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97,2</w:t>
            </w:r>
          </w:p>
        </w:tc>
      </w:tr>
      <w:tr w:rsidR="0002131F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Default="0048766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487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F" w:rsidRPr="008C511B" w:rsidRDefault="008C5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51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2,8</w:t>
            </w:r>
          </w:p>
        </w:tc>
      </w:tr>
    </w:tbl>
    <w:p w:rsidR="0002131F" w:rsidRDefault="000213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31F" w:rsidRDefault="00487667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02131F" w:rsidRPr="008C511B" w:rsidRDefault="00487667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первое полугодие 2023 года по плану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10168,5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 Исполнение за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полугодие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2023 год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4949,5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т.р. В том числе: дотации на выравнивание уровня бюджетной обеспеченности –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4368,2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дотации на поддержку мер по обеспечению сбалансированности – 192,6 тыс. руб.,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субвенции –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106,3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иные межбюджетные трансферты   </w:t>
      </w:r>
      <w:r w:rsidR="008C511B"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282,4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02131F" w:rsidRDefault="00487667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задачи, которые поставлены администрацией на </w:t>
      </w:r>
      <w:r w:rsidR="008C51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2023 год</w:t>
      </w:r>
      <w:r w:rsidR="008C51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это в первую очередь работа с населением и обращениями граждан;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 провести работу по максимальному привлечению доходов в бюджет поселения;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поддерживать дороги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рабочем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состоянии.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  продолжить работу по освещению улиц.           </w:t>
      </w:r>
    </w:p>
    <w:p w:rsidR="0002131F" w:rsidRDefault="00487667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участии уголовно  исполнительной инспекции 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ФССП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организуем рабочие места для людей, стоящих на учёте было привлечено </w:t>
      </w:r>
      <w:r w:rsidRPr="008C51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Pr="008C511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 Они занимались уборкой территории кладбища, скашиванием сорной растительности, уборка общественных территорий Митякинского сельского поселения.</w:t>
      </w:r>
    </w:p>
    <w:p w:rsidR="0002131F" w:rsidRPr="008C511B" w:rsidRDefault="00487667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Помощь по очистке от снега внутри поселковых дорог 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опашку населённых пунктов Митякинского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оказывают порядка 1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единиц рабочей техники: </w:t>
      </w:r>
      <w:bookmarkStart w:id="1" w:name="_Hlk10808271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ГБ ПОУ РО «</w:t>
      </w:r>
      <w:r w:rsidR="00A552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Тарасовский многопрофильный техникум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bookmarkEnd w:id="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ООО СПК «Родная земля», 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Декасар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ИП ГЛАВА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Ф)Х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Грешнов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А.М., ИП ГЛАВА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К(Ф)Х Волгин С.М.,  ИП 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К(Ф)Х Щуров А.А., ИП 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К(Ф)Х Кузьмин А. Б., ИП 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К(Ф)Х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Артюшенко</w:t>
      </w:r>
      <w:proofErr w:type="spellEnd"/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С.П,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 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К(Ф)Х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Овеян И.И.,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ИП ГЛАВА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Ф)Х Васильченко В. И., ООО «Газпром добыча Краснодар»,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Талалаев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В.М.</w:t>
      </w:r>
      <w:r w:rsidRPr="008C51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Куприенко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И. К.</w:t>
      </w:r>
    </w:p>
    <w:p w:rsidR="0002131F" w:rsidRDefault="00487667">
      <w:pPr>
        <w:pStyle w:val="a6"/>
        <w:spacing w:line="360" w:lineRule="auto"/>
        <w:ind w:firstLineChars="1100" w:firstLine="30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02131F" w:rsidRDefault="0048766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 за первое полугодие 2023 года, хочется отметить, что все, что было сделано на территории сельского поселения - это итог совместных усилий администрации поселения, всего депутатского корпуса, предприятий, организаций и учреждений, расположенных на территории поселения. </w:t>
      </w:r>
    </w:p>
    <w:p w:rsidR="0002131F" w:rsidRDefault="0048766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администрации и от себя лично хочу поблагодарить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администрацию Тарасовского муниципального района, территориальным органам государственной власти,</w:t>
      </w:r>
      <w:r>
        <w:rPr>
          <w:rFonts w:ascii="Times New Roman" w:hAnsi="Times New Roman" w:cs="Times New Roman"/>
          <w:sz w:val="28"/>
          <w:szCs w:val="28"/>
        </w:rPr>
        <w:t xml:space="preserve"> за понимание и оказание юридической и финансовой помощи нашему поселению, депутатов Митякинского сельского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поселения – за помощь в решении вопрос местного значения, жителей – за благоустройство придомовой территории и участии в общественной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поселения. Всем спасибо за поддержку и помощь.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Надеемся на дальнейшее взаимное сотрудничество и в текущем году.</w:t>
      </w:r>
      <w:proofErr w:type="gramEnd"/>
    </w:p>
    <w:p w:rsidR="0002131F" w:rsidRDefault="004876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поселения – это тот орган власти, который решает самые насущные, самые близкие и часто встречающиеся повседневные проблемы своих жителей. Именно поэтому местное самоуправление должно эффективно отвечать на тот вопрос, который существует, и мы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стремимся создать механизмы, которые способствовали бы максимальному стимулированию деятельности нашей поселенческой власти. И успех преобразований, происходящих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многом зависит от нашей совместной работы и от доверия друг к другу – доверия людей к власти и наоборот власти к людям.</w:t>
      </w:r>
    </w:p>
    <w:p w:rsidR="0002131F" w:rsidRDefault="0002131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31F" w:rsidRDefault="0048766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02131F" w:rsidRDefault="0002131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31F" w:rsidRDefault="0002131F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02131F" w:rsidSect="0002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62" w:rsidRDefault="00CB2262">
      <w:pPr>
        <w:spacing w:line="240" w:lineRule="auto"/>
      </w:pPr>
      <w:r>
        <w:separator/>
      </w:r>
    </w:p>
  </w:endnote>
  <w:endnote w:type="continuationSeparator" w:id="0">
    <w:p w:rsidR="00CB2262" w:rsidRDefault="00CB2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62" w:rsidRDefault="00CB2262">
      <w:pPr>
        <w:spacing w:after="0"/>
      </w:pPr>
      <w:r>
        <w:separator/>
      </w:r>
    </w:p>
  </w:footnote>
  <w:footnote w:type="continuationSeparator" w:id="0">
    <w:p w:rsidR="00CB2262" w:rsidRDefault="00CB22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8B8"/>
    <w:rsid w:val="0002131F"/>
    <w:rsid w:val="000259BC"/>
    <w:rsid w:val="000429A6"/>
    <w:rsid w:val="000603E6"/>
    <w:rsid w:val="00062784"/>
    <w:rsid w:val="00063EC4"/>
    <w:rsid w:val="00084C02"/>
    <w:rsid w:val="000B44AC"/>
    <w:rsid w:val="00143E32"/>
    <w:rsid w:val="00190928"/>
    <w:rsid w:val="001C169F"/>
    <w:rsid w:val="001C7068"/>
    <w:rsid w:val="001D43AC"/>
    <w:rsid w:val="001E4183"/>
    <w:rsid w:val="001E5206"/>
    <w:rsid w:val="00201311"/>
    <w:rsid w:val="0022676B"/>
    <w:rsid w:val="00255698"/>
    <w:rsid w:val="002742A7"/>
    <w:rsid w:val="00287F23"/>
    <w:rsid w:val="002A0D83"/>
    <w:rsid w:val="002B657F"/>
    <w:rsid w:val="002C5B53"/>
    <w:rsid w:val="002D1834"/>
    <w:rsid w:val="002E5EDE"/>
    <w:rsid w:val="00321F1C"/>
    <w:rsid w:val="003250E4"/>
    <w:rsid w:val="00340815"/>
    <w:rsid w:val="00361509"/>
    <w:rsid w:val="00387836"/>
    <w:rsid w:val="003B2F28"/>
    <w:rsid w:val="003B3A14"/>
    <w:rsid w:val="003C464F"/>
    <w:rsid w:val="003D2373"/>
    <w:rsid w:val="003F78F9"/>
    <w:rsid w:val="0040373F"/>
    <w:rsid w:val="00404FEB"/>
    <w:rsid w:val="00405E19"/>
    <w:rsid w:val="00416EE5"/>
    <w:rsid w:val="0043430C"/>
    <w:rsid w:val="0043721C"/>
    <w:rsid w:val="00462DD5"/>
    <w:rsid w:val="004719D0"/>
    <w:rsid w:val="00485B67"/>
    <w:rsid w:val="00487667"/>
    <w:rsid w:val="00491464"/>
    <w:rsid w:val="004A1B21"/>
    <w:rsid w:val="004B76C4"/>
    <w:rsid w:val="004C39FB"/>
    <w:rsid w:val="004C45F0"/>
    <w:rsid w:val="004D7CBE"/>
    <w:rsid w:val="005545C6"/>
    <w:rsid w:val="005933A0"/>
    <w:rsid w:val="005B05E7"/>
    <w:rsid w:val="005B2335"/>
    <w:rsid w:val="005C64CA"/>
    <w:rsid w:val="005F7C51"/>
    <w:rsid w:val="00626E1D"/>
    <w:rsid w:val="00652B39"/>
    <w:rsid w:val="00662972"/>
    <w:rsid w:val="00676350"/>
    <w:rsid w:val="0068273A"/>
    <w:rsid w:val="00696A44"/>
    <w:rsid w:val="006B0522"/>
    <w:rsid w:val="00707393"/>
    <w:rsid w:val="007258CD"/>
    <w:rsid w:val="00732B3B"/>
    <w:rsid w:val="007448B8"/>
    <w:rsid w:val="0075233C"/>
    <w:rsid w:val="0076764E"/>
    <w:rsid w:val="007709E2"/>
    <w:rsid w:val="00797187"/>
    <w:rsid w:val="007B1DCB"/>
    <w:rsid w:val="007B6B69"/>
    <w:rsid w:val="007D46B2"/>
    <w:rsid w:val="007E5F6B"/>
    <w:rsid w:val="007F55DA"/>
    <w:rsid w:val="00811F53"/>
    <w:rsid w:val="00823017"/>
    <w:rsid w:val="008318DD"/>
    <w:rsid w:val="00865CD0"/>
    <w:rsid w:val="008B1010"/>
    <w:rsid w:val="008C2294"/>
    <w:rsid w:val="008C511B"/>
    <w:rsid w:val="008E6D8A"/>
    <w:rsid w:val="00912845"/>
    <w:rsid w:val="009133DE"/>
    <w:rsid w:val="00934B1E"/>
    <w:rsid w:val="00941935"/>
    <w:rsid w:val="00980EE2"/>
    <w:rsid w:val="00981E07"/>
    <w:rsid w:val="009B1C83"/>
    <w:rsid w:val="009B5B19"/>
    <w:rsid w:val="009C660E"/>
    <w:rsid w:val="009D1A42"/>
    <w:rsid w:val="009D1DFE"/>
    <w:rsid w:val="009D73DA"/>
    <w:rsid w:val="009F2A45"/>
    <w:rsid w:val="00A17209"/>
    <w:rsid w:val="00A35EFA"/>
    <w:rsid w:val="00A41E69"/>
    <w:rsid w:val="00A43BCC"/>
    <w:rsid w:val="00A457B4"/>
    <w:rsid w:val="00A5526F"/>
    <w:rsid w:val="00A83147"/>
    <w:rsid w:val="00A84C5C"/>
    <w:rsid w:val="00AA7574"/>
    <w:rsid w:val="00AE589D"/>
    <w:rsid w:val="00AF56B9"/>
    <w:rsid w:val="00B13752"/>
    <w:rsid w:val="00B7331F"/>
    <w:rsid w:val="00B77FA9"/>
    <w:rsid w:val="00BB1118"/>
    <w:rsid w:val="00BD55D8"/>
    <w:rsid w:val="00BE576E"/>
    <w:rsid w:val="00BE62FB"/>
    <w:rsid w:val="00C054A8"/>
    <w:rsid w:val="00C15BDA"/>
    <w:rsid w:val="00C34EB1"/>
    <w:rsid w:val="00C42DC7"/>
    <w:rsid w:val="00C57F33"/>
    <w:rsid w:val="00C9778F"/>
    <w:rsid w:val="00CB2262"/>
    <w:rsid w:val="00CD6FF3"/>
    <w:rsid w:val="00CE6032"/>
    <w:rsid w:val="00D17E60"/>
    <w:rsid w:val="00D418FC"/>
    <w:rsid w:val="00D450E8"/>
    <w:rsid w:val="00D54460"/>
    <w:rsid w:val="00D60E1A"/>
    <w:rsid w:val="00D7322B"/>
    <w:rsid w:val="00D77D5B"/>
    <w:rsid w:val="00D94F82"/>
    <w:rsid w:val="00DA5F8B"/>
    <w:rsid w:val="00DA7AF8"/>
    <w:rsid w:val="00DF596F"/>
    <w:rsid w:val="00E07C26"/>
    <w:rsid w:val="00E108F0"/>
    <w:rsid w:val="00E11968"/>
    <w:rsid w:val="00E16B8F"/>
    <w:rsid w:val="00E27BF6"/>
    <w:rsid w:val="00E330CD"/>
    <w:rsid w:val="00E37C06"/>
    <w:rsid w:val="00E4532F"/>
    <w:rsid w:val="00E742C0"/>
    <w:rsid w:val="00E82C13"/>
    <w:rsid w:val="00E83572"/>
    <w:rsid w:val="00E94F29"/>
    <w:rsid w:val="00E959EB"/>
    <w:rsid w:val="00EB1E8C"/>
    <w:rsid w:val="00EF50F1"/>
    <w:rsid w:val="00F021F2"/>
    <w:rsid w:val="00F116B9"/>
    <w:rsid w:val="00F67D84"/>
    <w:rsid w:val="00F8306A"/>
    <w:rsid w:val="00FB3F5B"/>
    <w:rsid w:val="00FC1CC5"/>
    <w:rsid w:val="00FF50DC"/>
    <w:rsid w:val="0D0D1C23"/>
    <w:rsid w:val="11817376"/>
    <w:rsid w:val="157725E3"/>
    <w:rsid w:val="16BD6E73"/>
    <w:rsid w:val="24B36813"/>
    <w:rsid w:val="31786EF0"/>
    <w:rsid w:val="35212879"/>
    <w:rsid w:val="3BA16E7C"/>
    <w:rsid w:val="44DC376F"/>
    <w:rsid w:val="59725B9E"/>
    <w:rsid w:val="5A1A2750"/>
    <w:rsid w:val="68EB60E4"/>
    <w:rsid w:val="6D5B2BA2"/>
    <w:rsid w:val="78896743"/>
    <w:rsid w:val="7FB2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2131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rsid w:val="00021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213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2131F"/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Win7</cp:lastModifiedBy>
  <cp:revision>5</cp:revision>
  <cp:lastPrinted>2023-07-05T11:38:00Z</cp:lastPrinted>
  <dcterms:created xsi:type="dcterms:W3CDTF">2023-06-26T08:55:00Z</dcterms:created>
  <dcterms:modified xsi:type="dcterms:W3CDTF">2023-07-06T11:40:00Z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BABDF6B5DC8349B6BA715C098C2B619B</vt:lpwstr>
  </property>
</Properties>
</file>