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B1" w:rsidRDefault="00A067B1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ПРОЕКТ</w:t>
      </w:r>
    </w:p>
    <w:p w:rsidR="00A067B1" w:rsidRDefault="00A067B1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A067B1" w:rsidP="00BB2809">
            <w:pPr>
              <w:spacing w:before="40" w:line="228" w:lineRule="auto"/>
              <w:jc w:val="both"/>
            </w:pPr>
            <w:r>
              <w:t>____________</w:t>
            </w:r>
          </w:p>
        </w:tc>
        <w:tc>
          <w:tcPr>
            <w:tcW w:w="2410" w:type="dxa"/>
          </w:tcPr>
          <w:p w:rsidR="00F27FC0" w:rsidRPr="00082F4B" w:rsidRDefault="00F27FC0" w:rsidP="00A067B1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A067B1">
              <w:rPr>
                <w:bCs/>
              </w:rPr>
              <w:t>_____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201</w:t>
      </w:r>
      <w:r w:rsidR="00A067B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A067B1">
        <w:rPr>
          <w:rFonts w:ascii="Times New Roman" w:hAnsi="Times New Roman" w:cs="Times New Roman"/>
          <w:b w:val="0"/>
          <w:sz w:val="28"/>
          <w:szCs w:val="28"/>
        </w:rPr>
        <w:t>6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 (с изменениями от 18.11.2014г № 23, от 26.11.2015г № 22);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18.10.2013г № 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 (с изменениями от 31.07.2014г № 12, от 28.11.2014г № 24, от 26.11.2015г № 21</w:t>
      </w:r>
      <w:r w:rsidR="00A067B1">
        <w:rPr>
          <w:rFonts w:ascii="Times New Roman" w:hAnsi="Times New Roman" w:cs="Times New Roman"/>
          <w:b w:val="0"/>
          <w:bCs w:val="0"/>
          <w:sz w:val="28"/>
          <w:szCs w:val="28"/>
        </w:rPr>
        <w:t>, от 30.11.2016г №6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28.12.2012г №120 «О порядке оценки эффективности налоговых льгот, установленных представительным органом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Тарасовского района».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201</w:t>
      </w:r>
      <w:r w:rsidR="00A067B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Управлением ФНС России по Ростовской области.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местными решениями Собрания депутатов налоговые льготы были предоставлены по земельному налогу на сумму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33,8т.р.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76,0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  <w:proofErr w:type="gramEnd"/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оценки установлено следующее</w:t>
      </w:r>
      <w:proofErr w:type="gramStart"/>
      <w:r w:rsidRPr="009E1CFB">
        <w:rPr>
          <w:szCs w:val="24"/>
          <w:lang w:eastAsia="en-US" w:bidi="he-IL"/>
        </w:rPr>
        <w:t xml:space="preserve"> :</w:t>
      </w:r>
      <w:proofErr w:type="gramEnd"/>
      <w:r w:rsidRPr="009E1CFB">
        <w:rPr>
          <w:szCs w:val="24"/>
          <w:lang w:eastAsia="en-US" w:bidi="he-IL"/>
        </w:rPr>
        <w:t xml:space="preserve"> в 201</w:t>
      </w:r>
      <w:r w:rsidR="00A067B1">
        <w:rPr>
          <w:szCs w:val="24"/>
          <w:lang w:eastAsia="en-US" w:bidi="he-IL"/>
        </w:rPr>
        <w:t>6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 xml:space="preserve">1.1. Налоговая база уменьшается на не облагаемую налогом сумму в размере   10 000 рублей на одного налогоплательщика на территории </w:t>
      </w:r>
      <w:proofErr w:type="spellStart"/>
      <w:r>
        <w:rPr>
          <w:lang w:eastAsia="en-US" w:bidi="he-IL"/>
        </w:rPr>
        <w:t>Митякинского</w:t>
      </w:r>
      <w:proofErr w:type="spellEnd"/>
      <w:r w:rsidRPr="009E1CFB">
        <w:rPr>
          <w:lang w:eastAsia="en-US" w:bidi="he-IL"/>
        </w:rPr>
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1) Героев Советского Союза, Героев Российской Федерации, полных кавалеров ордена Славы;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2) инвалидов, имеющих III степень ограничения способности к трудовой деятельности, а также лиц,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3) инвалидов с детства;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4) ветеранов и инвалидов боевых действий;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</w:r>
      <w:proofErr w:type="gramStart"/>
      <w:r w:rsidRPr="009E1CFB">
        <w:rPr>
          <w:lang w:eastAsia="en-US" w:bidi="he-IL"/>
        </w:rPr>
        <w:t>5)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года              № 3061-1), в соответствии с Федеральным Законом от 26 ноября 1998 года        № 175-ФЗ «О социальной защите граждан Российской Федерации, подвергшихся воздействию радиации вследствие аварии</w:t>
      </w:r>
      <w:proofErr w:type="gramEnd"/>
      <w:r w:rsidRPr="009E1CFB">
        <w:rPr>
          <w:lang w:eastAsia="en-US" w:bidi="he-IL"/>
        </w:rPr>
        <w:t xml:space="preserve"> в 1957 году на производственном объединении «Маяк» и сбросов радиоактивных отходов в реку </w:t>
      </w:r>
      <w:proofErr w:type="spellStart"/>
      <w:r w:rsidRPr="009E1CFB">
        <w:rPr>
          <w:lang w:eastAsia="en-US" w:bidi="he-IL"/>
        </w:rPr>
        <w:t>Теча</w:t>
      </w:r>
      <w:proofErr w:type="spellEnd"/>
      <w:r w:rsidRPr="009E1CFB">
        <w:rPr>
          <w:lang w:eastAsia="en-US" w:bidi="he-IL"/>
        </w:rPr>
        <w:t xml:space="preserve">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6) физических лиц, принимающих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27FC0" w:rsidRPr="009E1CFB" w:rsidRDefault="00F27FC0" w:rsidP="00F27FC0">
      <w:pPr>
        <w:rPr>
          <w:lang w:eastAsia="en-US" w:bidi="he-IL"/>
        </w:rPr>
      </w:pPr>
      <w:r w:rsidRPr="009E1CFB">
        <w:rPr>
          <w:lang w:eastAsia="en-US" w:bidi="he-IL"/>
        </w:rPr>
        <w:tab/>
        <w:t xml:space="preserve">7) физических лиц, получивших или перенесших лучевую болезнь или ставших инвалидами в результате испытаний, учений и иных работ, </w:t>
      </w:r>
      <w:r w:rsidRPr="009E1CFB">
        <w:rPr>
          <w:lang w:eastAsia="en-US" w:bidi="he-IL"/>
        </w:rPr>
        <w:lastRenderedPageBreak/>
        <w:t>связанных с любыми видами ядерных установок, включая ядерное оружие и космическую технику.</w:t>
      </w:r>
    </w:p>
    <w:p w:rsidR="00F27FC0" w:rsidRPr="009E1CFB" w:rsidRDefault="00F27FC0" w:rsidP="00F27FC0">
      <w:pPr>
        <w:rPr>
          <w:szCs w:val="24"/>
          <w:lang w:eastAsia="en-US" w:bidi="he-IL"/>
        </w:rPr>
      </w:pPr>
    </w:p>
    <w:p w:rsidR="00F27FC0" w:rsidRPr="009E1CFB" w:rsidRDefault="00F27FC0" w:rsidP="00F27FC0">
      <w:pPr>
        <w:rPr>
          <w:lang w:eastAsia="en-US" w:bidi="he-IL"/>
        </w:rPr>
      </w:pPr>
      <w:r w:rsidRPr="009E1CFB">
        <w:rPr>
          <w:szCs w:val="24"/>
          <w:lang w:eastAsia="en-US" w:bidi="he-IL"/>
        </w:rPr>
        <w:tab/>
        <w:t>1.2.</w:t>
      </w:r>
      <w:r>
        <w:rPr>
          <w:lang w:eastAsia="en-US" w:bidi="he-IL"/>
        </w:rPr>
        <w:t>У</w:t>
      </w:r>
      <w:r w:rsidRPr="009E1CFB">
        <w:rPr>
          <w:lang w:eastAsia="en-US" w:bidi="he-IL"/>
        </w:rPr>
        <w:t xml:space="preserve">становлена  льгота в размере  100% освобождения от уплаты земельного налога на территории </w:t>
      </w:r>
      <w:proofErr w:type="spellStart"/>
      <w:r>
        <w:rPr>
          <w:lang w:eastAsia="en-US" w:bidi="he-IL"/>
        </w:rPr>
        <w:t>Митякинского</w:t>
      </w:r>
      <w:proofErr w:type="spellEnd"/>
      <w:r w:rsidRPr="009E1CFB">
        <w:rPr>
          <w:lang w:eastAsia="en-US" w:bidi="he-IL"/>
        </w:rPr>
        <w:t xml:space="preserve"> сельского поселения  в отношении земельного участка, находящегося в собственности, постоянном (бессрочном</w:t>
      </w:r>
      <w:proofErr w:type="gramStart"/>
      <w:r w:rsidRPr="009E1CFB">
        <w:rPr>
          <w:lang w:eastAsia="en-US" w:bidi="he-IL"/>
        </w:rPr>
        <w:t xml:space="preserve"> )</w:t>
      </w:r>
      <w:proofErr w:type="gramEnd"/>
      <w:r w:rsidRPr="009E1CFB">
        <w:rPr>
          <w:lang w:eastAsia="en-US" w:bidi="he-IL"/>
        </w:rPr>
        <w:t xml:space="preserve"> пользовании или пожизненном наследуемом владении следующим категориям налогоплательщиков :</w:t>
      </w:r>
    </w:p>
    <w:p w:rsidR="00F27FC0" w:rsidRPr="009E1CFB" w:rsidRDefault="00F27FC0" w:rsidP="00F27FC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38"/>
        <w:jc w:val="both"/>
      </w:pPr>
      <w:r w:rsidRPr="009E1CFB">
        <w:rPr>
          <w:lang w:eastAsia="en-US" w:bidi="he-IL"/>
        </w:rPr>
        <w:t xml:space="preserve"> -Ветеранам и инвалидам Великой Отечественной Войны</w:t>
      </w:r>
      <w:r>
        <w:rPr>
          <w:lang w:eastAsia="en-US" w:bidi="he-IL"/>
        </w:rPr>
        <w:t>,</w:t>
      </w:r>
      <w:r w:rsidRPr="009E1CFB">
        <w:t xml:space="preserve"> членам семей военнослужащих, потерявших кормильца.</w:t>
      </w:r>
    </w:p>
    <w:p w:rsidR="00F27FC0" w:rsidRPr="009E1CFB" w:rsidRDefault="00F27FC0" w:rsidP="00F27FC0">
      <w:pPr>
        <w:spacing w:before="100"/>
        <w:jc w:val="both"/>
        <w:rPr>
          <w:lang w:eastAsia="en-US" w:bidi="he-IL"/>
        </w:rPr>
      </w:pPr>
      <w:r w:rsidRPr="009E1CFB">
        <w:rPr>
          <w:lang w:eastAsia="en-US" w:bidi="he-IL"/>
        </w:rPr>
        <w:t xml:space="preserve">         1.3. Предоставлена  льгота </w:t>
      </w:r>
      <w:proofErr w:type="gramStart"/>
      <w:r w:rsidRPr="009E1CFB">
        <w:rPr>
          <w:lang w:eastAsia="en-US" w:bidi="he-IL"/>
        </w:rPr>
        <w:t>по земельному налогу в виде полного освобождения от уплаты земельного налога при получении участка под строительство</w:t>
      </w:r>
      <w:proofErr w:type="gramEnd"/>
      <w:r w:rsidRPr="009E1CFB">
        <w:rPr>
          <w:lang w:eastAsia="en-US" w:bidi="he-IL"/>
        </w:rPr>
        <w:t xml:space="preserve"> жилья следующим категориям налогоплательщиков:</w:t>
      </w:r>
    </w:p>
    <w:p w:rsidR="00F27FC0" w:rsidRDefault="00F27FC0" w:rsidP="00F27FC0">
      <w:pPr>
        <w:widowControl w:val="0"/>
        <w:suppressAutoHyphens/>
        <w:autoSpaceDE w:val="0"/>
        <w:spacing w:before="100"/>
        <w:ind w:left="720"/>
        <w:jc w:val="both"/>
        <w:rPr>
          <w:lang w:eastAsia="en-US" w:bidi="he-IL"/>
        </w:rPr>
      </w:pPr>
      <w:r>
        <w:rPr>
          <w:lang w:eastAsia="en-US" w:bidi="he-IL"/>
        </w:rPr>
        <w:t xml:space="preserve">- </w:t>
      </w:r>
      <w:r w:rsidRPr="009E1CFB">
        <w:rPr>
          <w:lang w:eastAsia="en-US" w:bidi="he-IL"/>
        </w:rPr>
        <w:t>Многодетным семьям</w:t>
      </w:r>
      <w:r w:rsidR="006E2B9B">
        <w:rPr>
          <w:lang w:eastAsia="en-US" w:bidi="he-IL"/>
        </w:rPr>
        <w:t>;</w:t>
      </w:r>
    </w:p>
    <w:p w:rsidR="006E2B9B" w:rsidRPr="009E1CFB" w:rsidRDefault="006E2B9B" w:rsidP="00F27FC0">
      <w:pPr>
        <w:widowControl w:val="0"/>
        <w:suppressAutoHyphens/>
        <w:autoSpaceDE w:val="0"/>
        <w:spacing w:before="100"/>
        <w:ind w:left="720"/>
        <w:jc w:val="both"/>
        <w:rPr>
          <w:lang w:eastAsia="en-US" w:bidi="he-IL"/>
        </w:rPr>
      </w:pPr>
      <w:r>
        <w:rPr>
          <w:lang w:eastAsia="en-US" w:bidi="he-IL"/>
        </w:rPr>
        <w:t xml:space="preserve">- </w:t>
      </w:r>
      <w:r>
        <w:t xml:space="preserve">граждане РФ, проживающих на территории </w:t>
      </w:r>
      <w:proofErr w:type="spellStart"/>
      <w:r>
        <w:t>Митякинского</w:t>
      </w:r>
      <w:proofErr w:type="spellEnd"/>
      <w:r>
        <w:t xml:space="preserve"> сельского поселения, имеющих детей-инвалидов.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предоставления налоговых освобождений в 201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201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201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201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2013г</w:t>
            </w:r>
          </w:p>
        </w:tc>
        <w:tc>
          <w:tcPr>
            <w:tcW w:w="0" w:type="auto"/>
          </w:tcPr>
          <w:p w:rsidR="00F27FC0" w:rsidRPr="00BC7C3F" w:rsidRDefault="006E2B9B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109,8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33,8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6E2B9B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76,0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1,4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 w:rsidRPr="009E1CFB">
              <w:rPr>
                <w:lang w:eastAsia="en-US" w:bidi="he-IL"/>
              </w:rPr>
              <w:t xml:space="preserve">Налоговая база уменьшается на не облагаемую налогом сумму в размере   10 000 рублей на одного налогоплательщика на территории </w:t>
            </w:r>
            <w:proofErr w:type="spellStart"/>
            <w:r>
              <w:rPr>
                <w:lang w:eastAsia="en-US" w:bidi="he-IL"/>
              </w:rPr>
              <w:t>Митякинского</w:t>
            </w:r>
            <w:proofErr w:type="spellEnd"/>
            <w:r w:rsidRPr="009E1CFB">
              <w:rPr>
                <w:lang w:eastAsia="en-US" w:bidi="he-IL"/>
              </w:rPr>
      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      </w:r>
          </w:p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1,1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31,3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2D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3344BA"/>
    <w:rsid w:val="00401550"/>
    <w:rsid w:val="006E2B9B"/>
    <w:rsid w:val="00931333"/>
    <w:rsid w:val="00A067B1"/>
    <w:rsid w:val="00CE4730"/>
    <w:rsid w:val="00D4244C"/>
    <w:rsid w:val="00F2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2016-02-09T07:29:00Z</dcterms:created>
  <dcterms:modified xsi:type="dcterms:W3CDTF">2017-04-17T12:23:00Z</dcterms:modified>
</cp:coreProperties>
</file>